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816"/>
        <w:gridCol w:w="7429"/>
      </w:tblGrid>
      <w:tr w:rsidR="00E16624" w:rsidRPr="00B27C7B" w:rsidTr="008C0F9D">
        <w:tc>
          <w:tcPr>
            <w:tcW w:w="1816" w:type="dxa"/>
          </w:tcPr>
          <w:p w:rsidR="00E16624" w:rsidRPr="00B27C7B" w:rsidRDefault="00E16624" w:rsidP="008C0F9D">
            <w:pPr>
              <w:rPr>
                <w:rFonts w:ascii="Garamond" w:hAnsi="Garamond"/>
              </w:rPr>
            </w:pPr>
            <w:bookmarkStart w:id="0" w:name="_GoBack"/>
            <w:bookmarkEnd w:id="0"/>
            <w:r w:rsidRPr="00B27C7B">
              <w:rPr>
                <w:rFonts w:ascii="Garamond" w:hAnsi="Garamond"/>
                <w:noProof/>
                <w:lang w:eastAsia="en-AU"/>
              </w:rPr>
              <w:drawing>
                <wp:inline distT="0" distB="0" distL="0" distR="0" wp14:anchorId="1A6138CF" wp14:editId="1ECD1D91">
                  <wp:extent cx="933450" cy="628650"/>
                  <wp:effectExtent l="19050" t="0" r="0" b="0"/>
                  <wp:docPr id="1" name="Picture 1" descr="p:\TEMPLATES\NOTES\LOCAL\CWEALT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EMPLATES\NOTES\LOCAL\CWEALTH.TIF"/>
                          <pic:cNvPicPr>
                            <a:picLocks noChangeAspect="1" noChangeArrowheads="1"/>
                          </pic:cNvPicPr>
                        </pic:nvPicPr>
                        <pic:blipFill>
                          <a:blip r:link="rId8" cstate="print"/>
                          <a:srcRect/>
                          <a:stretch>
                            <a:fillRect/>
                          </a:stretch>
                        </pic:blipFill>
                        <pic:spPr bwMode="auto">
                          <a:xfrm>
                            <a:off x="0" y="0"/>
                            <a:ext cx="933450" cy="628650"/>
                          </a:xfrm>
                          <a:prstGeom prst="rect">
                            <a:avLst/>
                          </a:prstGeom>
                          <a:noFill/>
                          <a:ln w="9525">
                            <a:noFill/>
                            <a:miter lim="800000"/>
                            <a:headEnd/>
                            <a:tailEnd/>
                          </a:ln>
                        </pic:spPr>
                      </pic:pic>
                    </a:graphicData>
                  </a:graphic>
                </wp:inline>
              </w:drawing>
            </w:r>
          </w:p>
        </w:tc>
        <w:tc>
          <w:tcPr>
            <w:tcW w:w="7429" w:type="dxa"/>
          </w:tcPr>
          <w:p w:rsidR="00E16624" w:rsidRPr="00B27C7B" w:rsidRDefault="00E16624" w:rsidP="008C0F9D">
            <w:pPr>
              <w:pStyle w:val="CrestLetter"/>
              <w:rPr>
                <w:rFonts w:ascii="Garamond" w:hAnsi="Garamond"/>
                <w:sz w:val="24"/>
                <w:szCs w:val="24"/>
              </w:rPr>
            </w:pPr>
          </w:p>
          <w:p w:rsidR="00E16624" w:rsidRPr="00B27C7B" w:rsidRDefault="00E16624" w:rsidP="008C0F9D">
            <w:pPr>
              <w:pStyle w:val="CrestLetter"/>
              <w:rPr>
                <w:rFonts w:ascii="Garamond" w:hAnsi="Garamond"/>
                <w:sz w:val="24"/>
                <w:szCs w:val="24"/>
              </w:rPr>
            </w:pPr>
            <w:r w:rsidRPr="00B27C7B">
              <w:rPr>
                <w:rFonts w:ascii="Garamond" w:hAnsi="Garamond"/>
                <w:sz w:val="24"/>
                <w:szCs w:val="24"/>
              </w:rPr>
              <w:t>AUSTRALIAN HIGH COMMISSION</w:t>
            </w:r>
          </w:p>
          <w:p w:rsidR="00E16624" w:rsidRPr="00B27C7B" w:rsidRDefault="00E16624" w:rsidP="008C0F9D">
            <w:pPr>
              <w:pStyle w:val="CrestLetter"/>
              <w:rPr>
                <w:rFonts w:ascii="Garamond" w:hAnsi="Garamond"/>
                <w:sz w:val="24"/>
                <w:szCs w:val="24"/>
              </w:rPr>
            </w:pPr>
            <w:r w:rsidRPr="00B27C7B">
              <w:rPr>
                <w:rFonts w:ascii="Garamond" w:hAnsi="Garamond"/>
                <w:sz w:val="24"/>
                <w:szCs w:val="24"/>
              </w:rPr>
              <w:t>DHAKA</w:t>
            </w:r>
          </w:p>
        </w:tc>
      </w:tr>
    </w:tbl>
    <w:p w:rsidR="00E16624" w:rsidRDefault="00464AEA" w:rsidP="00B27C7B">
      <w:pPr>
        <w:jc w:val="right"/>
        <w:rPr>
          <w:rFonts w:ascii="Garamond" w:hAnsi="Garamond"/>
          <w:b/>
          <w:bCs/>
          <w:iCs/>
        </w:rPr>
      </w:pPr>
      <w:r>
        <w:rPr>
          <w:rFonts w:ascii="Garamond" w:hAnsi="Garamond"/>
          <w:b/>
          <w:bCs/>
          <w:iCs/>
        </w:rPr>
        <w:t>21</w:t>
      </w:r>
      <w:r w:rsidR="00B27C7B" w:rsidRPr="00B27C7B">
        <w:rPr>
          <w:rFonts w:ascii="Garamond" w:hAnsi="Garamond"/>
          <w:b/>
          <w:bCs/>
          <w:iCs/>
        </w:rPr>
        <w:t xml:space="preserve"> August 2013</w:t>
      </w:r>
    </w:p>
    <w:p w:rsidR="00B27C7B" w:rsidRPr="00B27C7B" w:rsidRDefault="00B27C7B" w:rsidP="00B27C7B">
      <w:pPr>
        <w:rPr>
          <w:rFonts w:ascii="Garamond" w:hAnsi="Garamond"/>
          <w:b/>
          <w:bCs/>
          <w:iCs/>
        </w:rPr>
      </w:pPr>
    </w:p>
    <w:p w:rsidR="00464AEA" w:rsidRPr="00464AEA" w:rsidRDefault="00464AEA" w:rsidP="00464AEA">
      <w:pPr>
        <w:jc w:val="both"/>
        <w:rPr>
          <w:rFonts w:ascii="Garamond" w:hAnsi="Garamond" w:cs="Arial"/>
          <w:b/>
        </w:rPr>
      </w:pPr>
      <w:r w:rsidRPr="00464AEA">
        <w:rPr>
          <w:rFonts w:ascii="Garamond" w:hAnsi="Garamond" w:cs="Arial"/>
          <w:b/>
        </w:rPr>
        <w:t>First families transferred to Nauru under the regional settlement arrangement</w:t>
      </w:r>
    </w:p>
    <w:p w:rsidR="00464AEA" w:rsidRDefault="00464AEA" w:rsidP="00464AEA">
      <w:pPr>
        <w:jc w:val="both"/>
        <w:rPr>
          <w:rFonts w:ascii="Garamond" w:hAnsi="Garamond" w:cs="Arial"/>
          <w:b/>
        </w:rPr>
      </w:pPr>
    </w:p>
    <w:p w:rsidR="00464AEA" w:rsidRPr="00464AEA" w:rsidRDefault="00464AEA" w:rsidP="00464AEA">
      <w:pPr>
        <w:jc w:val="both"/>
        <w:rPr>
          <w:rFonts w:ascii="Garamond" w:hAnsi="Garamond" w:cs="Arial"/>
          <w:b/>
        </w:rPr>
      </w:pPr>
    </w:p>
    <w:p w:rsidR="00464AEA" w:rsidRPr="00464AEA" w:rsidRDefault="00464AEA" w:rsidP="00464AEA">
      <w:pPr>
        <w:jc w:val="both"/>
        <w:rPr>
          <w:rFonts w:ascii="Garamond" w:hAnsi="Garamond" w:cs="Arial"/>
        </w:rPr>
      </w:pPr>
      <w:r w:rsidRPr="00464AEA">
        <w:rPr>
          <w:rFonts w:ascii="Garamond" w:hAnsi="Garamond" w:cs="Arial"/>
        </w:rPr>
        <w:t>The</w:t>
      </w:r>
      <w:r>
        <w:rPr>
          <w:rFonts w:ascii="Garamond" w:hAnsi="Garamond" w:cs="Arial"/>
        </w:rPr>
        <w:t xml:space="preserve"> Australian </w:t>
      </w:r>
      <w:r w:rsidRPr="00464AEA">
        <w:rPr>
          <w:rFonts w:ascii="Garamond" w:hAnsi="Garamond" w:cs="Arial"/>
        </w:rPr>
        <w:t>Department of Immigration and Citizenship today confirmed the first transfer of family groups under the Regional Settlement Arrangement (RSA) to the regional processing centre in Nauru.</w:t>
      </w:r>
    </w:p>
    <w:p w:rsidR="00464AEA" w:rsidRPr="00464AEA" w:rsidRDefault="00464AEA" w:rsidP="00464AEA">
      <w:pPr>
        <w:jc w:val="both"/>
        <w:rPr>
          <w:rFonts w:ascii="Garamond" w:hAnsi="Garamond" w:cs="Arial"/>
        </w:rPr>
      </w:pPr>
    </w:p>
    <w:p w:rsidR="00464AEA" w:rsidRPr="00464AEA" w:rsidRDefault="00464AEA" w:rsidP="00464AEA">
      <w:pPr>
        <w:jc w:val="both"/>
        <w:rPr>
          <w:rFonts w:ascii="Garamond" w:hAnsi="Garamond" w:cs="Arial"/>
        </w:rPr>
      </w:pPr>
      <w:r w:rsidRPr="00464AEA">
        <w:rPr>
          <w:rFonts w:ascii="Garamond" w:hAnsi="Garamond" w:cs="Arial"/>
        </w:rPr>
        <w:t>The group, which includes 14 adults and 12 children landed in Nauru earlier today where they will be accommodated while their claims are processed by the Nauru Government. Appropriate accommodation is in place at a separate site to other cohorts residing in Nauru.</w:t>
      </w:r>
    </w:p>
    <w:p w:rsidR="00464AEA" w:rsidRPr="00464AEA" w:rsidRDefault="00464AEA" w:rsidP="00464AEA">
      <w:pPr>
        <w:jc w:val="both"/>
        <w:rPr>
          <w:rFonts w:ascii="Garamond" w:hAnsi="Garamond" w:cs="Arial"/>
        </w:rPr>
      </w:pPr>
    </w:p>
    <w:p w:rsidR="00464AEA" w:rsidRPr="00464AEA" w:rsidRDefault="00464AEA" w:rsidP="00464AEA">
      <w:pPr>
        <w:jc w:val="both"/>
        <w:rPr>
          <w:rFonts w:ascii="Garamond" w:hAnsi="Garamond" w:cs="Arial"/>
        </w:rPr>
      </w:pPr>
      <w:r w:rsidRPr="00464AEA">
        <w:rPr>
          <w:rFonts w:ascii="Garamond" w:hAnsi="Garamond" w:cs="Arial"/>
        </w:rPr>
        <w:t xml:space="preserve">A spokesman for the department said the first transfer of a family group under the RSA confirmed that everyone who arrives after July 19 will be transferred to a regional processing centre once health checks are complete, and appropriate accommodation and service are available. </w:t>
      </w:r>
    </w:p>
    <w:p w:rsidR="00464AEA" w:rsidRPr="00464AEA" w:rsidRDefault="00464AEA" w:rsidP="00464AEA">
      <w:pPr>
        <w:jc w:val="both"/>
        <w:rPr>
          <w:rFonts w:ascii="Garamond" w:hAnsi="Garamond" w:cs="Arial"/>
        </w:rPr>
      </w:pPr>
    </w:p>
    <w:p w:rsidR="00464AEA" w:rsidRPr="00464AEA" w:rsidRDefault="00464AEA" w:rsidP="00464AEA">
      <w:pPr>
        <w:jc w:val="both"/>
        <w:rPr>
          <w:rFonts w:ascii="Garamond" w:hAnsi="Garamond" w:cs="Arial"/>
        </w:rPr>
      </w:pPr>
      <w:r w:rsidRPr="00464AEA">
        <w:rPr>
          <w:rFonts w:ascii="Garamond" w:hAnsi="Garamond" w:cs="Arial"/>
        </w:rPr>
        <w:t>“This latest transfer to Nauru sends the clearest possible message that coming to Australia by boat is not the way to gain Australian residency, and children or family groups will not be exempted from transfer,” the spokesman said.</w:t>
      </w:r>
    </w:p>
    <w:p w:rsidR="00464AEA" w:rsidRPr="00464AEA" w:rsidRDefault="00464AEA" w:rsidP="00464AEA">
      <w:pPr>
        <w:jc w:val="both"/>
        <w:rPr>
          <w:rFonts w:ascii="Garamond" w:hAnsi="Garamond" w:cs="Arial"/>
        </w:rPr>
      </w:pPr>
    </w:p>
    <w:p w:rsidR="00464AEA" w:rsidRPr="00464AEA" w:rsidRDefault="00464AEA" w:rsidP="00464AEA">
      <w:pPr>
        <w:jc w:val="both"/>
        <w:rPr>
          <w:rFonts w:ascii="Garamond" w:hAnsi="Garamond" w:cs="Arial"/>
        </w:rPr>
      </w:pPr>
      <w:r w:rsidRPr="00464AEA">
        <w:rPr>
          <w:rFonts w:ascii="Garamond" w:hAnsi="Garamond" w:cs="Arial"/>
        </w:rPr>
        <w:t>“Exempting them would simply encourage people smugglers to put children on boats to Australia.”</w:t>
      </w:r>
    </w:p>
    <w:p w:rsidR="00464AEA" w:rsidRPr="00464AEA" w:rsidRDefault="00464AEA" w:rsidP="00464AEA">
      <w:pPr>
        <w:jc w:val="both"/>
        <w:rPr>
          <w:rFonts w:ascii="Garamond" w:hAnsi="Garamond" w:cs="Arial"/>
        </w:rPr>
      </w:pPr>
    </w:p>
    <w:p w:rsidR="00464AEA" w:rsidRPr="00464AEA" w:rsidRDefault="00464AEA" w:rsidP="00464AEA">
      <w:pPr>
        <w:jc w:val="both"/>
        <w:rPr>
          <w:rFonts w:ascii="Garamond" w:hAnsi="Garamond" w:cs="Arial"/>
        </w:rPr>
      </w:pPr>
      <w:r w:rsidRPr="00464AEA">
        <w:rPr>
          <w:rFonts w:ascii="Garamond" w:hAnsi="Garamond" w:cs="Arial"/>
        </w:rPr>
        <w:t>Under the RSA, anyone – including unaccompanied minors – who seeks to bypass proper migration pathways and instead pay people smugglers for a boat trip to Australia, will be liable for transfer to a regional processing country.</w:t>
      </w:r>
    </w:p>
    <w:p w:rsidR="00464AEA" w:rsidRPr="00464AEA" w:rsidRDefault="00464AEA" w:rsidP="00464AEA">
      <w:pPr>
        <w:jc w:val="both"/>
        <w:rPr>
          <w:rFonts w:ascii="Garamond" w:hAnsi="Garamond" w:cs="Arial"/>
        </w:rPr>
      </w:pPr>
    </w:p>
    <w:p w:rsidR="00464AEA" w:rsidRPr="00464AEA" w:rsidRDefault="00464AEA" w:rsidP="00464AEA">
      <w:pPr>
        <w:jc w:val="both"/>
        <w:rPr>
          <w:rFonts w:ascii="Garamond" w:hAnsi="Garamond" w:cs="Arial"/>
        </w:rPr>
      </w:pPr>
      <w:r w:rsidRPr="00464AEA">
        <w:rPr>
          <w:rFonts w:ascii="Garamond" w:hAnsi="Garamond" w:cs="Arial"/>
        </w:rPr>
        <w:t>The spokesman said there is no cap on the number of people who can be transferred to a regional processing centre and transfers will continue on a regular basis.</w:t>
      </w:r>
    </w:p>
    <w:p w:rsidR="00464AEA" w:rsidRPr="00464AEA" w:rsidRDefault="00464AEA" w:rsidP="00464AEA">
      <w:pPr>
        <w:jc w:val="both"/>
        <w:rPr>
          <w:rFonts w:ascii="Garamond" w:hAnsi="Garamond" w:cs="Arial"/>
        </w:rPr>
      </w:pPr>
    </w:p>
    <w:p w:rsidR="00B27C7B" w:rsidRPr="00464AEA" w:rsidRDefault="00464AEA" w:rsidP="00464AEA">
      <w:pPr>
        <w:jc w:val="both"/>
        <w:rPr>
          <w:rFonts w:ascii="Garamond" w:hAnsi="Garamond" w:cs="Arial"/>
        </w:rPr>
      </w:pPr>
      <w:r w:rsidRPr="00464AEA">
        <w:rPr>
          <w:rFonts w:ascii="Garamond" w:hAnsi="Garamond" w:cs="Arial"/>
        </w:rPr>
        <w:t>“If people are paying thousands and thousands of dollars to a people smuggler, they are buying a ticket to a country other than Australia. Coming to Australia by boat is not the way to gain Australian residency.”</w:t>
      </w:r>
    </w:p>
    <w:p w:rsidR="00464AEA" w:rsidRPr="00464AEA" w:rsidRDefault="00464AEA" w:rsidP="00464AEA">
      <w:pPr>
        <w:jc w:val="both"/>
        <w:rPr>
          <w:rFonts w:ascii="Garamond" w:hAnsi="Garamond" w:cs="Arial"/>
        </w:rPr>
      </w:pPr>
    </w:p>
    <w:p w:rsidR="00464AEA" w:rsidRPr="00464AEA" w:rsidRDefault="00464AEA" w:rsidP="00464AEA">
      <w:pPr>
        <w:jc w:val="both"/>
        <w:rPr>
          <w:rFonts w:ascii="Garamond" w:hAnsi="Garamond" w:cs="Arial"/>
        </w:rPr>
      </w:pPr>
    </w:p>
    <w:p w:rsidR="00464AEA" w:rsidRDefault="00464AEA" w:rsidP="00464AEA">
      <w:pPr>
        <w:jc w:val="both"/>
        <w:rPr>
          <w:rFonts w:ascii="Garamond" w:hAnsi="Garamond" w:cs="Arial"/>
          <w:b/>
        </w:rPr>
      </w:pPr>
    </w:p>
    <w:p w:rsidR="00464AEA" w:rsidRPr="00B27C7B" w:rsidRDefault="00464AEA" w:rsidP="00464AEA">
      <w:pPr>
        <w:jc w:val="both"/>
        <w:rPr>
          <w:rFonts w:ascii="Garamond" w:hAnsi="Garamond"/>
          <w:b/>
          <w:bCs/>
        </w:rPr>
      </w:pPr>
    </w:p>
    <w:p w:rsidR="00E16624" w:rsidRPr="00B27C7B" w:rsidRDefault="00E16624" w:rsidP="00E16624">
      <w:pPr>
        <w:rPr>
          <w:rFonts w:ascii="Garamond" w:hAnsi="Garamond"/>
        </w:rPr>
      </w:pPr>
      <w:r w:rsidRPr="00B27C7B">
        <w:rPr>
          <w:rFonts w:ascii="Garamond" w:hAnsi="Garamond"/>
        </w:rPr>
        <w:t xml:space="preserve">For further information please contact: </w:t>
      </w:r>
    </w:p>
    <w:p w:rsidR="00E16624" w:rsidRPr="00B27C7B" w:rsidRDefault="00E16624" w:rsidP="00E16624">
      <w:pPr>
        <w:rPr>
          <w:rFonts w:ascii="Garamond" w:hAnsi="Garamond"/>
        </w:rPr>
      </w:pPr>
      <w:r w:rsidRPr="00B27C7B">
        <w:rPr>
          <w:rFonts w:ascii="Garamond" w:hAnsi="Garamond"/>
        </w:rPr>
        <w:t>Senior Research and Communications Officer, AHC Dhaka</w:t>
      </w:r>
    </w:p>
    <w:p w:rsidR="00913F38" w:rsidRPr="00B27C7B" w:rsidRDefault="00E16624">
      <w:pPr>
        <w:rPr>
          <w:rFonts w:ascii="Garamond" w:hAnsi="Garamond"/>
        </w:rPr>
      </w:pPr>
      <w:r w:rsidRPr="00B27C7B">
        <w:rPr>
          <w:rFonts w:ascii="Garamond" w:hAnsi="Garamond"/>
          <w:lang w:val="it-IT"/>
        </w:rPr>
        <w:t>Tel: 8813105 (413)</w:t>
      </w:r>
      <w:r w:rsidR="00B27C7B" w:rsidRPr="00B27C7B">
        <w:rPr>
          <w:rFonts w:ascii="Garamond" w:hAnsi="Garamond"/>
          <w:lang w:val="it-IT"/>
        </w:rPr>
        <w:t xml:space="preserve">; </w:t>
      </w:r>
      <w:r w:rsidRPr="00B27C7B">
        <w:rPr>
          <w:rFonts w:ascii="Garamond" w:hAnsi="Garamond"/>
          <w:lang w:val="it-IT"/>
        </w:rPr>
        <w:t>E-mail: simeen.sabha</w:t>
      </w:r>
      <w:r w:rsidRPr="00B27C7B">
        <w:rPr>
          <w:rFonts w:ascii="Garamond" w:hAnsi="Garamond"/>
        </w:rPr>
        <w:t>@dfat.gov.au</w:t>
      </w:r>
    </w:p>
    <w:sectPr w:rsidR="00913F38" w:rsidRPr="00B27C7B">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386" w:rsidRDefault="00727386" w:rsidP="00B27C7B">
      <w:r>
        <w:separator/>
      </w:r>
    </w:p>
  </w:endnote>
  <w:endnote w:type="continuationSeparator" w:id="0">
    <w:p w:rsidR="00727386" w:rsidRDefault="00727386" w:rsidP="00B2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7B" w:rsidRPr="00B27C7B" w:rsidRDefault="00B27C7B" w:rsidP="00B27C7B">
    <w:pPr>
      <w:pStyle w:val="Header"/>
      <w:jc w:val="center"/>
      <w:rPr>
        <w:rFonts w:ascii="Arial" w:hAnsi="Arial" w:cs="Arial"/>
        <w:sz w:val="28"/>
        <w:szCs w:val="28"/>
      </w:rPr>
    </w:pPr>
    <w:r w:rsidRPr="00B27C7B">
      <w:rPr>
        <w:rFonts w:ascii="Arial" w:hAnsi="Arial" w:cs="Arial"/>
        <w:sz w:val="28"/>
        <w:szCs w:val="28"/>
      </w:rPr>
      <w:t>MEDIA RELEASE</w:t>
    </w:r>
  </w:p>
  <w:p w:rsidR="00B27C7B" w:rsidRDefault="00B27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386" w:rsidRDefault="00727386" w:rsidP="00B27C7B">
      <w:r>
        <w:separator/>
      </w:r>
    </w:p>
  </w:footnote>
  <w:footnote w:type="continuationSeparator" w:id="0">
    <w:p w:rsidR="00727386" w:rsidRDefault="00727386" w:rsidP="00B27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7B" w:rsidRPr="00B27C7B" w:rsidRDefault="00B27C7B" w:rsidP="00B27C7B">
    <w:pPr>
      <w:pStyle w:val="Header"/>
      <w:jc w:val="center"/>
      <w:rPr>
        <w:rFonts w:ascii="Arial" w:hAnsi="Arial" w:cs="Arial"/>
        <w:sz w:val="28"/>
        <w:szCs w:val="28"/>
      </w:rPr>
    </w:pPr>
    <w:r w:rsidRPr="00B27C7B">
      <w:rPr>
        <w:rFonts w:ascii="Arial" w:hAnsi="Arial" w:cs="Arial"/>
        <w:sz w:val="28"/>
        <w:szCs w:val="28"/>
      </w:rPr>
      <w:t>MEDIA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624"/>
    <w:rsid w:val="00016D64"/>
    <w:rsid w:val="0006767D"/>
    <w:rsid w:val="000E7AD0"/>
    <w:rsid w:val="00143A3D"/>
    <w:rsid w:val="00344A74"/>
    <w:rsid w:val="004213DA"/>
    <w:rsid w:val="00444810"/>
    <w:rsid w:val="00464AEA"/>
    <w:rsid w:val="004F121D"/>
    <w:rsid w:val="00536998"/>
    <w:rsid w:val="005C3D38"/>
    <w:rsid w:val="00614E2E"/>
    <w:rsid w:val="00673E9C"/>
    <w:rsid w:val="00727386"/>
    <w:rsid w:val="007F5ADA"/>
    <w:rsid w:val="00824BFB"/>
    <w:rsid w:val="00867168"/>
    <w:rsid w:val="008A6B2F"/>
    <w:rsid w:val="008B0604"/>
    <w:rsid w:val="00911D03"/>
    <w:rsid w:val="00913F38"/>
    <w:rsid w:val="00952ED4"/>
    <w:rsid w:val="00983E53"/>
    <w:rsid w:val="009E3F86"/>
    <w:rsid w:val="00A14383"/>
    <w:rsid w:val="00A63BFB"/>
    <w:rsid w:val="00A97EE1"/>
    <w:rsid w:val="00B27C7B"/>
    <w:rsid w:val="00B62778"/>
    <w:rsid w:val="00C17DEB"/>
    <w:rsid w:val="00C5592D"/>
    <w:rsid w:val="00C63A5F"/>
    <w:rsid w:val="00D03DA8"/>
    <w:rsid w:val="00D64185"/>
    <w:rsid w:val="00DD05CB"/>
    <w:rsid w:val="00E16624"/>
    <w:rsid w:val="00EC7B79"/>
    <w:rsid w:val="00EF1E97"/>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624"/>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estLetter">
    <w:name w:val="CrestLetter"/>
    <w:basedOn w:val="Normal"/>
    <w:rsid w:val="00E16624"/>
    <w:pPr>
      <w:jc w:val="center"/>
    </w:pPr>
    <w:rPr>
      <w:caps/>
      <w:spacing w:val="60"/>
      <w:sz w:val="28"/>
      <w:szCs w:val="28"/>
    </w:rPr>
  </w:style>
  <w:style w:type="paragraph" w:styleId="BalloonText">
    <w:name w:val="Balloon Text"/>
    <w:basedOn w:val="Normal"/>
    <w:link w:val="BalloonTextChar"/>
    <w:rsid w:val="00E16624"/>
    <w:rPr>
      <w:rFonts w:ascii="Tahoma" w:hAnsi="Tahoma" w:cs="Tahoma"/>
      <w:sz w:val="16"/>
      <w:szCs w:val="16"/>
    </w:rPr>
  </w:style>
  <w:style w:type="character" w:customStyle="1" w:styleId="BalloonTextChar">
    <w:name w:val="Balloon Text Char"/>
    <w:basedOn w:val="DefaultParagraphFont"/>
    <w:link w:val="BalloonText"/>
    <w:rsid w:val="00E16624"/>
    <w:rPr>
      <w:rFonts w:ascii="Tahoma" w:eastAsia="SimSun" w:hAnsi="Tahoma" w:cs="Tahoma"/>
      <w:sz w:val="16"/>
      <w:szCs w:val="16"/>
      <w:lang w:eastAsia="zh-CN"/>
    </w:rPr>
  </w:style>
  <w:style w:type="paragraph" w:styleId="Header">
    <w:name w:val="header"/>
    <w:basedOn w:val="Normal"/>
    <w:link w:val="HeaderChar"/>
    <w:rsid w:val="00B27C7B"/>
    <w:pPr>
      <w:tabs>
        <w:tab w:val="center" w:pos="4513"/>
        <w:tab w:val="right" w:pos="9026"/>
      </w:tabs>
    </w:pPr>
  </w:style>
  <w:style w:type="character" w:customStyle="1" w:styleId="HeaderChar">
    <w:name w:val="Header Char"/>
    <w:basedOn w:val="DefaultParagraphFont"/>
    <w:link w:val="Header"/>
    <w:rsid w:val="00B27C7B"/>
    <w:rPr>
      <w:rFonts w:eastAsia="SimSun"/>
      <w:sz w:val="24"/>
      <w:szCs w:val="24"/>
      <w:lang w:eastAsia="zh-CN"/>
    </w:rPr>
  </w:style>
  <w:style w:type="paragraph" w:styleId="Footer">
    <w:name w:val="footer"/>
    <w:basedOn w:val="Normal"/>
    <w:link w:val="FooterChar"/>
    <w:rsid w:val="00B27C7B"/>
    <w:pPr>
      <w:tabs>
        <w:tab w:val="center" w:pos="4513"/>
        <w:tab w:val="right" w:pos="9026"/>
      </w:tabs>
    </w:pPr>
  </w:style>
  <w:style w:type="character" w:customStyle="1" w:styleId="FooterChar">
    <w:name w:val="Footer Char"/>
    <w:basedOn w:val="DefaultParagraphFont"/>
    <w:link w:val="Footer"/>
    <w:rsid w:val="00B27C7B"/>
    <w:rPr>
      <w:rFonts w:eastAsia="SimSu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624"/>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estLetter">
    <w:name w:val="CrestLetter"/>
    <w:basedOn w:val="Normal"/>
    <w:rsid w:val="00E16624"/>
    <w:pPr>
      <w:jc w:val="center"/>
    </w:pPr>
    <w:rPr>
      <w:caps/>
      <w:spacing w:val="60"/>
      <w:sz w:val="28"/>
      <w:szCs w:val="28"/>
    </w:rPr>
  </w:style>
  <w:style w:type="paragraph" w:styleId="BalloonText">
    <w:name w:val="Balloon Text"/>
    <w:basedOn w:val="Normal"/>
    <w:link w:val="BalloonTextChar"/>
    <w:rsid w:val="00E16624"/>
    <w:rPr>
      <w:rFonts w:ascii="Tahoma" w:hAnsi="Tahoma" w:cs="Tahoma"/>
      <w:sz w:val="16"/>
      <w:szCs w:val="16"/>
    </w:rPr>
  </w:style>
  <w:style w:type="character" w:customStyle="1" w:styleId="BalloonTextChar">
    <w:name w:val="Balloon Text Char"/>
    <w:basedOn w:val="DefaultParagraphFont"/>
    <w:link w:val="BalloonText"/>
    <w:rsid w:val="00E16624"/>
    <w:rPr>
      <w:rFonts w:ascii="Tahoma" w:eastAsia="SimSun" w:hAnsi="Tahoma" w:cs="Tahoma"/>
      <w:sz w:val="16"/>
      <w:szCs w:val="16"/>
      <w:lang w:eastAsia="zh-CN"/>
    </w:rPr>
  </w:style>
  <w:style w:type="paragraph" w:styleId="Header">
    <w:name w:val="header"/>
    <w:basedOn w:val="Normal"/>
    <w:link w:val="HeaderChar"/>
    <w:rsid w:val="00B27C7B"/>
    <w:pPr>
      <w:tabs>
        <w:tab w:val="center" w:pos="4513"/>
        <w:tab w:val="right" w:pos="9026"/>
      </w:tabs>
    </w:pPr>
  </w:style>
  <w:style w:type="character" w:customStyle="1" w:styleId="HeaderChar">
    <w:name w:val="Header Char"/>
    <w:basedOn w:val="DefaultParagraphFont"/>
    <w:link w:val="Header"/>
    <w:rsid w:val="00B27C7B"/>
    <w:rPr>
      <w:rFonts w:eastAsia="SimSun"/>
      <w:sz w:val="24"/>
      <w:szCs w:val="24"/>
      <w:lang w:eastAsia="zh-CN"/>
    </w:rPr>
  </w:style>
  <w:style w:type="paragraph" w:styleId="Footer">
    <w:name w:val="footer"/>
    <w:basedOn w:val="Normal"/>
    <w:link w:val="FooterChar"/>
    <w:rsid w:val="00B27C7B"/>
    <w:pPr>
      <w:tabs>
        <w:tab w:val="center" w:pos="4513"/>
        <w:tab w:val="right" w:pos="9026"/>
      </w:tabs>
    </w:pPr>
  </w:style>
  <w:style w:type="character" w:customStyle="1" w:styleId="FooterChar">
    <w:name w:val="Footer Char"/>
    <w:basedOn w:val="DefaultParagraphFont"/>
    <w:link w:val="Footer"/>
    <w:rsid w:val="00B27C7B"/>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p:\TEMPLATES\NOTES\LOCAL\CWEALTH.TI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9AF16-4787-4D24-B88B-0763EA0F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D27F1264</Template>
  <TotalTime>0</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Sabha, Simeen</dc:creator>
  <cp:lastModifiedBy>siqbal</cp:lastModifiedBy>
  <cp:revision>2</cp:revision>
  <cp:lastPrinted>2013-08-06T06:47:00Z</cp:lastPrinted>
  <dcterms:created xsi:type="dcterms:W3CDTF">2013-08-21T06:37:00Z</dcterms:created>
  <dcterms:modified xsi:type="dcterms:W3CDTF">2013-08-21T06:37:00Z</dcterms:modified>
</cp:coreProperties>
</file>